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266CFEC" w14:textId="7BB998A6" w:rsidR="008E39B4" w:rsidRDefault="00A26596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WHY IS COMMUNITY AN IMPORTANT PART OF MUSI</w:t>
            </w:r>
            <w:r w:rsidR="00A47A92">
              <w:rPr>
                <w:rFonts w:cstheme="minorHAnsi"/>
                <w:color w:val="000000" w:themeColor="text1"/>
                <w:sz w:val="20"/>
                <w:szCs w:val="20"/>
              </w:rPr>
              <w:t>CAL EXPERIENCE</w:t>
            </w:r>
            <w:r w:rsidR="0084777E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14:paraId="757809B9" w14:textId="4B1023A7" w:rsidR="006B338C" w:rsidRPr="00811F13" w:rsidRDefault="003C5CA8" w:rsidP="001900C4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Year 7 KS3 Music – </w:t>
            </w:r>
            <w:r w:rsidR="001F0F1C">
              <w:rPr>
                <w:rFonts w:cstheme="minorHAnsi"/>
                <w:color w:val="000000" w:themeColor="text1"/>
              </w:rPr>
              <w:t>Africa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3438D0AD" w:rsidR="008E39B4" w:rsidRPr="00A02FA0" w:rsidRDefault="003D4BCD" w:rsidP="006546FA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3D4BC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African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5E4EE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music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is traditionally learned by listening and copying and has an immediacy and accessibility for musicians of a wide range of abilities from a range of backgrounds when entering KS3. </w:t>
            </w:r>
            <w:r w:rsidR="006B4AE6">
              <w:rPr>
                <w:rFonts w:cstheme="minorHAnsi"/>
                <w:color w:val="000000" w:themeColor="text1"/>
                <w:sz w:val="20"/>
                <w:szCs w:val="20"/>
              </w:rPr>
              <w:t>Th</w:t>
            </w:r>
            <w:r w:rsidR="00FF449A">
              <w:rPr>
                <w:rFonts w:cstheme="minorHAnsi"/>
                <w:color w:val="000000" w:themeColor="text1"/>
                <w:sz w:val="20"/>
                <w:szCs w:val="20"/>
              </w:rPr>
              <w:t>is</w:t>
            </w:r>
            <w:r w:rsidR="006B4AE6">
              <w:rPr>
                <w:rFonts w:cstheme="minorHAnsi"/>
                <w:color w:val="000000" w:themeColor="text1"/>
                <w:sz w:val="20"/>
                <w:szCs w:val="20"/>
              </w:rPr>
              <w:t xml:space="preserve"> first unit </w:t>
            </w:r>
            <w:r w:rsidR="007836C0">
              <w:rPr>
                <w:rFonts w:cstheme="minorHAnsi"/>
                <w:color w:val="000000" w:themeColor="text1"/>
                <w:sz w:val="20"/>
                <w:szCs w:val="20"/>
              </w:rPr>
              <w:t xml:space="preserve">sets </w:t>
            </w:r>
            <w:r w:rsidR="00472BDE">
              <w:rPr>
                <w:rFonts w:cstheme="minorHAnsi"/>
                <w:color w:val="000000" w:themeColor="text1"/>
                <w:sz w:val="20"/>
                <w:szCs w:val="20"/>
              </w:rPr>
              <w:t>the expectations</w:t>
            </w:r>
            <w:r w:rsidR="00FF449A">
              <w:rPr>
                <w:rFonts w:cstheme="minorHAnsi"/>
                <w:color w:val="000000" w:themeColor="text1"/>
                <w:sz w:val="20"/>
                <w:szCs w:val="20"/>
              </w:rPr>
              <w:t xml:space="preserve"> for</w:t>
            </w:r>
            <w:r w:rsidR="00472BDE">
              <w:rPr>
                <w:rFonts w:cstheme="minorHAnsi"/>
                <w:color w:val="000000" w:themeColor="text1"/>
                <w:sz w:val="20"/>
                <w:szCs w:val="20"/>
              </w:rPr>
              <w:t xml:space="preserve"> all</w:t>
            </w:r>
            <w:r w:rsidR="00FF449A">
              <w:rPr>
                <w:rFonts w:cstheme="minorHAnsi"/>
                <w:color w:val="000000" w:themeColor="text1"/>
                <w:sz w:val="20"/>
                <w:szCs w:val="20"/>
              </w:rPr>
              <w:t xml:space="preserve"> music lessons </w:t>
            </w:r>
            <w:r w:rsidR="00D21854">
              <w:rPr>
                <w:rFonts w:cstheme="minorHAnsi"/>
                <w:color w:val="000000" w:themeColor="text1"/>
                <w:sz w:val="20"/>
                <w:szCs w:val="20"/>
              </w:rPr>
              <w:t xml:space="preserve">– </w:t>
            </w:r>
            <w:r w:rsidR="00193640"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students experience music primarily through participation in </w:t>
            </w:r>
            <w:r w:rsidR="00701B04">
              <w:rPr>
                <w:rFonts w:cstheme="minorHAnsi"/>
                <w:color w:val="000000" w:themeColor="text1"/>
                <w:sz w:val="20"/>
                <w:szCs w:val="20"/>
              </w:rPr>
              <w:t>singing &amp; perform</w:t>
            </w:r>
            <w:r w:rsidR="00D9754E">
              <w:rPr>
                <w:rFonts w:cstheme="minorHAnsi"/>
                <w:color w:val="000000" w:themeColor="text1"/>
                <w:sz w:val="20"/>
                <w:szCs w:val="20"/>
              </w:rPr>
              <w:t xml:space="preserve">ance </w:t>
            </w:r>
            <w:r w:rsidR="00193640">
              <w:rPr>
                <w:rFonts w:cstheme="minorHAnsi"/>
                <w:color w:val="000000" w:themeColor="text1"/>
                <w:sz w:val="20"/>
                <w:szCs w:val="20"/>
              </w:rPr>
              <w:t xml:space="preserve">class activities </w:t>
            </w:r>
            <w:r w:rsidR="007C1BC8">
              <w:rPr>
                <w:rFonts w:cstheme="minorHAnsi"/>
                <w:color w:val="000000" w:themeColor="text1"/>
                <w:sz w:val="20"/>
                <w:szCs w:val="20"/>
              </w:rPr>
              <w:t xml:space="preserve">supplemented with </w:t>
            </w:r>
            <w:r w:rsidR="00D9263C">
              <w:rPr>
                <w:rFonts w:cstheme="minorHAnsi"/>
                <w:color w:val="000000" w:themeColor="text1"/>
                <w:sz w:val="20"/>
                <w:szCs w:val="20"/>
              </w:rPr>
              <w:t xml:space="preserve">focused </w:t>
            </w:r>
            <w:r w:rsidR="007C1BC8">
              <w:rPr>
                <w:rFonts w:cstheme="minorHAnsi"/>
                <w:color w:val="000000" w:themeColor="text1"/>
                <w:sz w:val="20"/>
                <w:szCs w:val="20"/>
              </w:rPr>
              <w:t>listening</w:t>
            </w:r>
            <w:r w:rsidR="00D9263C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5E4EEA">
              <w:rPr>
                <w:rFonts w:cstheme="minorHAnsi"/>
                <w:color w:val="000000" w:themeColor="text1"/>
                <w:sz w:val="20"/>
                <w:szCs w:val="20"/>
              </w:rPr>
              <w:t>Th</w:t>
            </w:r>
            <w:r w:rsidR="002C22FC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5E4EEA">
              <w:rPr>
                <w:rFonts w:cstheme="minorHAnsi"/>
                <w:color w:val="000000" w:themeColor="text1"/>
                <w:sz w:val="20"/>
                <w:szCs w:val="20"/>
              </w:rPr>
              <w:t xml:space="preserve"> progression </w:t>
            </w:r>
            <w:r w:rsidR="002C22FC">
              <w:rPr>
                <w:rFonts w:cstheme="minorHAnsi"/>
                <w:color w:val="000000" w:themeColor="text1"/>
                <w:sz w:val="20"/>
                <w:szCs w:val="20"/>
              </w:rPr>
              <w:t xml:space="preserve">from whole class activities </w:t>
            </w:r>
            <w:r w:rsidR="005E4EEA">
              <w:rPr>
                <w:rFonts w:cstheme="minorHAnsi"/>
                <w:color w:val="000000" w:themeColor="text1"/>
                <w:sz w:val="20"/>
                <w:szCs w:val="20"/>
              </w:rPr>
              <w:t>into smaller groups taking ownership of the creative process</w:t>
            </w:r>
            <w:r w:rsidR="006546FA">
              <w:rPr>
                <w:rFonts w:cstheme="minorHAnsi"/>
                <w:color w:val="000000" w:themeColor="text1"/>
                <w:sz w:val="20"/>
                <w:szCs w:val="20"/>
              </w:rPr>
              <w:t xml:space="preserve">es including improvisation prepares students for subsequent topics in yr7 e.g. </w:t>
            </w:r>
            <w:r w:rsidR="006546FA" w:rsidRPr="006546F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Folk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1483F97" w14:textId="101183AA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Djembe</w:t>
            </w:r>
          </w:p>
          <w:p w14:paraId="0AF4D59F" w14:textId="176F7AD4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 xml:space="preserve">A </w:t>
            </w:r>
            <w:r w:rsidR="00213C66">
              <w:rPr>
                <w:rFonts w:eastAsia="Times New Roman" w:cstheme="minorHAnsi"/>
                <w:color w:val="242424"/>
                <w:lang w:eastAsia="en-GB"/>
              </w:rPr>
              <w:t>C</w:t>
            </w:r>
            <w:r>
              <w:rPr>
                <w:rFonts w:eastAsia="Times New Roman" w:cstheme="minorHAnsi"/>
                <w:color w:val="242424"/>
                <w:lang w:eastAsia="en-GB"/>
              </w:rPr>
              <w:t>apella</w:t>
            </w:r>
          </w:p>
          <w:p w14:paraId="7F5EAE5C" w14:textId="13A8E43A" w:rsidR="003840EE" w:rsidRDefault="003840E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Pulse</w:t>
            </w:r>
          </w:p>
          <w:p w14:paraId="707F24C7" w14:textId="6AB0974A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Rhythm</w:t>
            </w:r>
          </w:p>
          <w:p w14:paraId="2962319A" w14:textId="2A7BF8C7" w:rsidR="007674DD" w:rsidRDefault="007674DD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4/4 time signature</w:t>
            </w:r>
          </w:p>
          <w:p w14:paraId="7103B538" w14:textId="2D4BFEEC" w:rsidR="007674DD" w:rsidRDefault="007674DD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Tempo</w:t>
            </w:r>
          </w:p>
          <w:p w14:paraId="577F763B" w14:textId="4E564AD4" w:rsidR="00F962B3" w:rsidRDefault="00F962B3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Dynamics</w:t>
            </w:r>
          </w:p>
          <w:p w14:paraId="5F8180A1" w14:textId="0F7EFAA5" w:rsidR="007B4EF8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Structure</w:t>
            </w:r>
          </w:p>
          <w:p w14:paraId="1562500E" w14:textId="307F78BE" w:rsidR="007B4EF8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Texture</w:t>
            </w:r>
          </w:p>
          <w:p w14:paraId="2547E59F" w14:textId="37D0FD04" w:rsidR="007B4EF8" w:rsidRDefault="007B4EF8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>
              <w:rPr>
                <w:rFonts w:eastAsia="Times New Roman" w:cstheme="minorHAnsi"/>
                <w:color w:val="242424"/>
                <w:lang w:eastAsia="en-GB"/>
              </w:rPr>
              <w:t>Timbre</w:t>
            </w:r>
          </w:p>
          <w:p w14:paraId="7E6503C1" w14:textId="3F1E1028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Call and Copy</w:t>
            </w:r>
          </w:p>
          <w:p w14:paraId="044E0CE9" w14:textId="77777777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Call and response</w:t>
            </w:r>
          </w:p>
          <w:p w14:paraId="4151FB9E" w14:textId="77777777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Improvisation</w:t>
            </w:r>
          </w:p>
          <w:p w14:paraId="012EC65A" w14:textId="77777777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Syncopated Rhythms</w:t>
            </w:r>
          </w:p>
          <w:p w14:paraId="7A7C1806" w14:textId="77777777" w:rsidR="00EE781E" w:rsidRPr="00EE781E" w:rsidRDefault="00EE781E" w:rsidP="00EE781E">
            <w:pPr>
              <w:shd w:val="clear" w:color="auto" w:fill="FFFFFF"/>
              <w:spacing w:before="100" w:beforeAutospacing="1" w:after="0" w:line="336" w:lineRule="atLeast"/>
              <w:rPr>
                <w:rFonts w:eastAsia="Times New Roman" w:cstheme="minorHAnsi"/>
                <w:color w:val="242424"/>
                <w:lang w:eastAsia="en-GB"/>
              </w:rPr>
            </w:pPr>
            <w:r w:rsidRPr="00EE781E">
              <w:rPr>
                <w:rFonts w:eastAsia="Times New Roman" w:cstheme="minorHAnsi"/>
                <w:color w:val="242424"/>
                <w:lang w:eastAsia="en-GB"/>
              </w:rPr>
              <w:t>Polyrhythms</w:t>
            </w:r>
          </w:p>
          <w:p w14:paraId="49147324" w14:textId="35F1111A" w:rsidR="00061424" w:rsidRPr="00811F13" w:rsidRDefault="0006142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36C51F3" w14:textId="77777777" w:rsidR="000832B7" w:rsidRDefault="000832B7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How can we understand the musical processes and contexts of African music?</w:t>
            </w:r>
          </w:p>
          <w:p w14:paraId="5BC50156" w14:textId="77777777" w:rsidR="005B7108" w:rsidRDefault="005B7108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How are musical devices used to create expressive African music?</w:t>
            </w:r>
          </w:p>
          <w:p w14:paraId="7F20A475" w14:textId="1B6A9C40" w:rsidR="00F26945" w:rsidRPr="007674DD" w:rsidRDefault="00F26945" w:rsidP="00D84EB7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How do the different parts fit together in </w:t>
            </w:r>
            <w:r w:rsidR="005B7108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>an ensemble</w:t>
            </w:r>
            <w:r w:rsidR="00D409DA" w:rsidRPr="007674DD">
              <w:rPr>
                <w:rFonts w:asciiTheme="minorHAnsi" w:hAnsiTheme="minorHAnsi" w:cstheme="minorHAnsi"/>
                <w:color w:val="242424"/>
                <w:sz w:val="22"/>
                <w:szCs w:val="22"/>
                <w:shd w:val="clear" w:color="auto" w:fill="FFFFFF"/>
              </w:rPr>
              <w:t xml:space="preserve"> and how can we maintain good timing?</w:t>
            </w:r>
          </w:p>
          <w:p w14:paraId="704CD9BE" w14:textId="571678A2" w:rsidR="00BA400B" w:rsidRPr="005B7108" w:rsidRDefault="007B4C0F" w:rsidP="00924238">
            <w:pPr>
              <w:pStyle w:val="NormalWeb"/>
              <w:shd w:val="clear" w:color="auto" w:fill="FFFFFF"/>
              <w:spacing w:before="0" w:beforeAutospacing="0" w:after="336" w:afterAutospacing="0" w:line="336" w:lineRule="atLeast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H</w:t>
            </w:r>
            <w:r w:rsidR="00D84E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ow </w:t>
            </w: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can </w:t>
            </w:r>
            <w:r w:rsidR="00D84EB7"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the musical elements be used to create different moods and effects in African music</w:t>
            </w:r>
            <w:r w:rsidRPr="007674DD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?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2AAA94B" w14:textId="77777777" w:rsidR="00284AC4" w:rsidRDefault="00284AC4" w:rsidP="00284AC4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>Music Enrichment:</w:t>
            </w:r>
          </w:p>
          <w:p w14:paraId="282D8B39" w14:textId="44E5407D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Percussion ensemble</w:t>
            </w:r>
            <w:r w:rsidR="00EC794E">
              <w:rPr>
                <w:rFonts w:cstheme="minorHAnsi"/>
                <w:color w:val="000000" w:themeColor="text1"/>
              </w:rPr>
              <w:t xml:space="preserve"> &amp; </w:t>
            </w:r>
            <w:r>
              <w:rPr>
                <w:rFonts w:cstheme="minorHAnsi"/>
                <w:color w:val="000000" w:themeColor="text1"/>
              </w:rPr>
              <w:t>Choir + performance opportunities (</w:t>
            </w:r>
            <w:r w:rsidR="00A2704D">
              <w:rPr>
                <w:rFonts w:cstheme="minorHAnsi"/>
                <w:color w:val="000000" w:themeColor="text1"/>
              </w:rPr>
              <w:t xml:space="preserve">school assemblies, school concerts, </w:t>
            </w:r>
            <w:r w:rsidR="00EC794E">
              <w:rPr>
                <w:rFonts w:cstheme="minorHAnsi"/>
                <w:color w:val="000000" w:themeColor="text1"/>
              </w:rPr>
              <w:t>external concerts e.g. Somerford Arc, Regent Centre community project</w:t>
            </w:r>
            <w:r>
              <w:rPr>
                <w:rFonts w:cstheme="minorHAnsi"/>
                <w:color w:val="000000" w:themeColor="text1"/>
              </w:rPr>
              <w:t>)</w:t>
            </w:r>
          </w:p>
          <w:p w14:paraId="7642CF8A" w14:textId="77777777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Further listening/reading: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7C20C60F" w14:textId="16647797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YouTube –a cappella videos (</w:t>
            </w:r>
            <w:r w:rsidR="00E73A07">
              <w:rPr>
                <w:rFonts w:cstheme="minorHAnsi"/>
                <w:color w:val="000000" w:themeColor="text1"/>
              </w:rPr>
              <w:t xml:space="preserve">e.g. </w:t>
            </w:r>
            <w:r w:rsidR="002E0723">
              <w:rPr>
                <w:rFonts w:cstheme="minorHAnsi"/>
                <w:color w:val="000000" w:themeColor="text1"/>
              </w:rPr>
              <w:t xml:space="preserve">Ladysmith Black </w:t>
            </w:r>
            <w:proofErr w:type="spellStart"/>
            <w:r w:rsidR="002E0723">
              <w:rPr>
                <w:rFonts w:cstheme="minorHAnsi"/>
                <w:color w:val="000000" w:themeColor="text1"/>
              </w:rPr>
              <w:t>Mambazo</w:t>
            </w:r>
            <w:proofErr w:type="spellEnd"/>
            <w:r>
              <w:rPr>
                <w:rFonts w:cstheme="minorHAnsi"/>
                <w:color w:val="000000" w:themeColor="text1"/>
              </w:rPr>
              <w:t>)</w:t>
            </w:r>
          </w:p>
          <w:p w14:paraId="105B2111" w14:textId="7019B39A" w:rsidR="00284AC4" w:rsidRDefault="00284AC4" w:rsidP="00284A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YouTube – </w:t>
            </w:r>
            <w:r w:rsidR="00E73A07">
              <w:rPr>
                <w:rFonts w:cstheme="minorHAnsi"/>
                <w:color w:val="000000" w:themeColor="text1"/>
              </w:rPr>
              <w:t>djembe drumming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13104725" w14:textId="77777777" w:rsidR="00284AC4" w:rsidRDefault="00284AC4" w:rsidP="00284AC4">
            <w:pPr>
              <w:rPr>
                <w:rStyle w:val="Hyperlink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MyHighcliffe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Music Page which can be found </w:t>
            </w:r>
            <w:hyperlink r:id="rId10" w:history="1">
              <w:r>
                <w:rPr>
                  <w:rStyle w:val="Hyperlink"/>
                  <w:rFonts w:cstheme="minorHAnsi"/>
                </w:rPr>
                <w:t>here</w:t>
              </w:r>
            </w:hyperlink>
          </w:p>
          <w:p w14:paraId="001E2D6F" w14:textId="4F066056" w:rsidR="00F55B61" w:rsidRPr="00811F13" w:rsidRDefault="00F55B61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B7E1983" w14:textId="2DC12647" w:rsidR="00D132F3" w:rsidRDefault="00D132F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 video feedback recordings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one of work in progress and one of the final performance. </w:t>
            </w:r>
          </w:p>
          <w:p w14:paraId="641C685F" w14:textId="5E708699" w:rsidR="008E39B4" w:rsidRPr="00F73A29" w:rsidRDefault="00D132F3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Students will self-evaluate 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 xml:space="preserve">by adding comments to the video 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WWW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EBI</w:t>
            </w:r>
            <w:r w:rsidR="00070DDC">
              <w:rPr>
                <w:rFonts w:cstheme="minorHAnsi"/>
                <w:color w:val="000000" w:themeColor="text1"/>
                <w:sz w:val="20"/>
                <w:szCs w:val="20"/>
              </w:rPr>
              <w:t>/</w:t>
            </w:r>
            <w:r w:rsidR="004D3241">
              <w:rPr>
                <w:rFonts w:cstheme="minorHAnsi"/>
                <w:color w:val="000000" w:themeColor="text1"/>
                <w:sz w:val="20"/>
                <w:szCs w:val="20"/>
              </w:rPr>
              <w:t>CTG</w:t>
            </w: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329B79A9" w:rsidR="00364798" w:rsidRDefault="00364798" w:rsidP="008E39B4"/>
    <w:p w14:paraId="1AFBBCAA" w14:textId="01360D76" w:rsidR="000832B7" w:rsidRDefault="000832B7" w:rsidP="008E39B4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832B7" w:rsidRPr="00FB5CCC" w14:paraId="73F757B8" w14:textId="77777777" w:rsidTr="00495541">
        <w:tc>
          <w:tcPr>
            <w:tcW w:w="9072" w:type="dxa"/>
            <w:shd w:val="clear" w:color="auto" w:fill="FFFFFF" w:themeFill="background1"/>
          </w:tcPr>
          <w:p w14:paraId="46819329" w14:textId="77777777" w:rsidR="000832B7" w:rsidRPr="00FB5CCC" w:rsidRDefault="000832B7" w:rsidP="00495541">
            <w:pPr>
              <w:rPr>
                <w:b/>
                <w:sz w:val="18"/>
                <w:szCs w:val="18"/>
              </w:rPr>
            </w:pPr>
            <w:r w:rsidRPr="00FB5CCC">
              <w:rPr>
                <w:b/>
                <w:sz w:val="18"/>
                <w:szCs w:val="18"/>
              </w:rPr>
              <w:t>Success Criteria</w:t>
            </w:r>
          </w:p>
        </w:tc>
      </w:tr>
      <w:tr w:rsidR="000832B7" w:rsidRPr="00FB5CCC" w14:paraId="0F03E002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72ED2726" w14:textId="77777777" w:rsidR="000832B7" w:rsidRPr="00FB5CCC" w:rsidRDefault="000832B7" w:rsidP="00495541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="000832B7" w:rsidRPr="00FB5CCC" w14:paraId="34738687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22B5624D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Understanding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2388F8F2" w14:textId="77777777" w:rsidR="000832B7" w:rsidRPr="00B3268D" w:rsidRDefault="000832B7" w:rsidP="000832B7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B3268D">
              <w:rPr>
                <w:rFonts w:ascii="Verdana" w:hAnsi="Verdana"/>
                <w:sz w:val="18"/>
                <w:szCs w:val="18"/>
              </w:rPr>
              <w:t>Understand how the different musical elements and devices are combined and used expressively in African music.</w:t>
            </w:r>
          </w:p>
          <w:p w14:paraId="58C30EA4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Skills (music making)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4E15824B" w14:textId="77777777" w:rsidR="000832B7" w:rsidRPr="00D22C24" w:rsidRDefault="000832B7" w:rsidP="000832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 xml:space="preserve">Can maintain their own part with awareness of how the different parts fit together adapting their part to achieve a </w:t>
            </w:r>
            <w:r w:rsidRPr="00D304C5">
              <w:rPr>
                <w:rFonts w:cstheme="minorHAnsi"/>
                <w:i/>
              </w:rPr>
              <w:t>stylistic</w:t>
            </w:r>
            <w:r w:rsidRPr="00D22C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effect</w:t>
            </w:r>
            <w:r w:rsidRPr="00D22C24">
              <w:rPr>
                <w:rFonts w:cstheme="minorHAnsi"/>
              </w:rPr>
              <w:t>.</w:t>
            </w:r>
          </w:p>
          <w:p w14:paraId="2A34537C" w14:textId="77777777" w:rsidR="000832B7" w:rsidRPr="00B3268D" w:rsidRDefault="000832B7" w:rsidP="000832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Can combi</w:t>
            </w:r>
            <w:r>
              <w:rPr>
                <w:rFonts w:cstheme="minorHAnsi"/>
              </w:rPr>
              <w:t>ne musical elements, devices and expressive qualities in a creative way, showing flair and confidence.</w:t>
            </w:r>
          </w:p>
        </w:tc>
      </w:tr>
      <w:tr w:rsidR="000832B7" w:rsidRPr="00FB5CCC" w14:paraId="4F380785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4EFCB1A6" w14:textId="77777777" w:rsidR="000832B7" w:rsidRPr="00FB5CCC" w:rsidRDefault="000832B7" w:rsidP="00495541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="000832B7" w:rsidRPr="00FB5CCC" w14:paraId="07BA8BA3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33854778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Understanding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1B138B61" w14:textId="77777777" w:rsidR="000832B7" w:rsidRPr="00B3268D" w:rsidRDefault="000832B7" w:rsidP="000832B7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18"/>
                <w:szCs w:val="18"/>
              </w:rPr>
            </w:pPr>
            <w:r w:rsidRPr="00B3268D">
              <w:rPr>
                <w:rFonts w:ascii="Verdana" w:hAnsi="Verdana"/>
                <w:sz w:val="18"/>
                <w:szCs w:val="18"/>
              </w:rPr>
              <w:t>Understand how rhythm, texture and other musical devices can fit together to create a secure performance/composition</w:t>
            </w:r>
          </w:p>
          <w:p w14:paraId="57D6D856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Skills (music making)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68363BBF" w14:textId="77777777" w:rsidR="000832B7" w:rsidRDefault="000832B7" w:rsidP="000832B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>Can maint</w:t>
            </w:r>
            <w:r>
              <w:rPr>
                <w:rFonts w:cstheme="minorHAnsi"/>
              </w:rPr>
              <w:t>ain their own part in their African</w:t>
            </w:r>
            <w:r w:rsidRPr="002D2F91">
              <w:rPr>
                <w:rFonts w:cstheme="minorHAnsi"/>
              </w:rPr>
              <w:t xml:space="preserve"> ensemble performance </w:t>
            </w:r>
            <w:r>
              <w:rPr>
                <w:rFonts w:cstheme="minorHAnsi"/>
              </w:rPr>
              <w:t>with an awareness of how the different parts fit together.</w:t>
            </w:r>
          </w:p>
          <w:p w14:paraId="039F0CCB" w14:textId="77777777" w:rsidR="000832B7" w:rsidRPr="00FB5CCC" w:rsidRDefault="000832B7" w:rsidP="000832B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22C24">
              <w:rPr>
                <w:rFonts w:cstheme="minorHAnsi"/>
              </w:rPr>
              <w:t>Can combine some musical elements and devices successfully</w:t>
            </w:r>
            <w:r>
              <w:rPr>
                <w:rFonts w:cstheme="minorHAnsi"/>
              </w:rPr>
              <w:t xml:space="preserve"> as part of an ensemble, demonstrating musical progress.</w:t>
            </w:r>
            <w:r w:rsidRPr="00D22C24">
              <w:rPr>
                <w:rFonts w:cstheme="minorHAnsi"/>
              </w:rPr>
              <w:t xml:space="preserve"> </w:t>
            </w:r>
          </w:p>
        </w:tc>
      </w:tr>
      <w:tr w:rsidR="000832B7" w:rsidRPr="00FB5CCC" w14:paraId="76FBF7AE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1A8B8F0F" w14:textId="77777777" w:rsidR="000832B7" w:rsidRPr="00FB5CCC" w:rsidRDefault="000832B7" w:rsidP="00495541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="000832B7" w:rsidRPr="00FB5CCC" w14:paraId="1AC19C26" w14:textId="77777777" w:rsidTr="00495541">
        <w:tc>
          <w:tcPr>
            <w:tcW w:w="9072" w:type="dxa"/>
            <w:tcBorders>
              <w:bottom w:val="single" w:sz="4" w:space="0" w:color="auto"/>
            </w:tcBorders>
          </w:tcPr>
          <w:p w14:paraId="3B59C81F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Understanding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7E5F151D" w14:textId="77777777" w:rsidR="000832B7" w:rsidRPr="00B3268D" w:rsidRDefault="000832B7" w:rsidP="000832B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B3268D">
              <w:rPr>
                <w:rFonts w:cstheme="minorHAnsi"/>
              </w:rPr>
              <w:t>Understand how some musical elements can be used to create different moods and effects in African music.</w:t>
            </w:r>
          </w:p>
          <w:p w14:paraId="20BA0128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Skills (music making)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1ACB2CAE" w14:textId="77777777" w:rsidR="000832B7" w:rsidRDefault="000832B7" w:rsidP="000832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D22C24">
              <w:rPr>
                <w:rFonts w:cstheme="minorHAnsi"/>
              </w:rPr>
              <w:t xml:space="preserve">Can sing </w:t>
            </w:r>
            <w:r>
              <w:rPr>
                <w:rFonts w:cstheme="minorHAnsi"/>
              </w:rPr>
              <w:t>with a sense of the shape of the melody.</w:t>
            </w:r>
          </w:p>
          <w:p w14:paraId="7F7DDE2F" w14:textId="77777777" w:rsidR="000832B7" w:rsidRPr="00B3268D" w:rsidRDefault="000832B7" w:rsidP="000832B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Can perform </w:t>
            </w:r>
            <w:r w:rsidRPr="00D22C24">
              <w:rPr>
                <w:rFonts w:cstheme="minorHAnsi"/>
              </w:rPr>
              <w:t>rhythmically</w:t>
            </w:r>
            <w:r>
              <w:rPr>
                <w:rFonts w:cstheme="minorHAnsi"/>
              </w:rPr>
              <w:t xml:space="preserve"> simple parts to a steady pulse in time.</w:t>
            </w:r>
          </w:p>
        </w:tc>
      </w:tr>
      <w:tr w:rsidR="000832B7" w:rsidRPr="00FB5CCC" w14:paraId="05356354" w14:textId="77777777" w:rsidTr="00495541">
        <w:tc>
          <w:tcPr>
            <w:tcW w:w="9072" w:type="dxa"/>
            <w:shd w:val="clear" w:color="auto" w:fill="FFE599" w:themeFill="accent4" w:themeFillTint="66"/>
          </w:tcPr>
          <w:p w14:paraId="10902703" w14:textId="77777777" w:rsidR="000832B7" w:rsidRPr="00FB5CCC" w:rsidRDefault="000832B7" w:rsidP="00495541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Foundation</w:t>
            </w:r>
          </w:p>
        </w:tc>
      </w:tr>
      <w:tr w:rsidR="000832B7" w:rsidRPr="00FB5CCC" w14:paraId="6571546A" w14:textId="77777777" w:rsidTr="00495541">
        <w:tc>
          <w:tcPr>
            <w:tcW w:w="9072" w:type="dxa"/>
          </w:tcPr>
          <w:p w14:paraId="6C303AB2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Understanding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1148ACD0" w14:textId="77777777" w:rsidR="000832B7" w:rsidRPr="00B3268D" w:rsidRDefault="000832B7" w:rsidP="000832B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B3268D">
              <w:rPr>
                <w:rFonts w:cstheme="minorHAnsi"/>
              </w:rPr>
              <w:t>Understand musical instructions in a class ensemble and identify simple repeated patterns heard in African music.</w:t>
            </w:r>
          </w:p>
          <w:p w14:paraId="2C1A5BA4" w14:textId="77777777" w:rsidR="000832B7" w:rsidRPr="00FB5CCC" w:rsidRDefault="000832B7" w:rsidP="00495541">
            <w:pP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</w:pPr>
            <w:r w:rsidRPr="00FB5CC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Skills (music making)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14:paraId="0A3A5F46" w14:textId="77777777" w:rsidR="000832B7" w:rsidRDefault="000832B7" w:rsidP="000832B7">
            <w:pPr>
              <w:pStyle w:val="ListParagraph"/>
              <w:numPr>
                <w:ilvl w:val="0"/>
                <w:numId w:val="4"/>
              </w:numPr>
              <w:ind w:left="743" w:hanging="425"/>
              <w:rPr>
                <w:rFonts w:cstheme="minorHAnsi"/>
              </w:rPr>
            </w:pPr>
            <w:r w:rsidRPr="00D22C24">
              <w:rPr>
                <w:rFonts w:cstheme="minorHAnsi"/>
              </w:rPr>
              <w:t>Can repeat shor</w:t>
            </w:r>
            <w:r>
              <w:rPr>
                <w:rFonts w:cstheme="minorHAnsi"/>
              </w:rPr>
              <w:t>t rhythmic and melodic patterns with a sense of timing</w:t>
            </w:r>
          </w:p>
          <w:p w14:paraId="7C65B8D9" w14:textId="77777777" w:rsidR="000832B7" w:rsidRPr="00FB5CCC" w:rsidRDefault="000832B7" w:rsidP="0049554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</w:tbl>
    <w:p w14:paraId="6696F77F" w14:textId="198B95BA" w:rsidR="00211364" w:rsidRDefault="00211364" w:rsidP="008E39B4"/>
    <w:sectPr w:rsidR="00211364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F7B0A" w14:textId="77777777" w:rsidR="005D62A6" w:rsidRDefault="005D62A6" w:rsidP="00017B74">
      <w:pPr>
        <w:spacing w:after="0" w:line="240" w:lineRule="auto"/>
      </w:pPr>
      <w:r>
        <w:separator/>
      </w:r>
    </w:p>
  </w:endnote>
  <w:endnote w:type="continuationSeparator" w:id="0">
    <w:p w14:paraId="01BC00EF" w14:textId="77777777" w:rsidR="005D62A6" w:rsidRDefault="005D62A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8F27C" w14:textId="77777777" w:rsidR="005D62A6" w:rsidRDefault="005D62A6" w:rsidP="00017B74">
      <w:pPr>
        <w:spacing w:after="0" w:line="240" w:lineRule="auto"/>
      </w:pPr>
      <w:r>
        <w:separator/>
      </w:r>
    </w:p>
  </w:footnote>
  <w:footnote w:type="continuationSeparator" w:id="0">
    <w:p w14:paraId="5FB24880" w14:textId="77777777" w:rsidR="005D62A6" w:rsidRDefault="005D62A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4641A"/>
    <w:multiLevelType w:val="hybridMultilevel"/>
    <w:tmpl w:val="4808C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5252"/>
    <w:multiLevelType w:val="hybridMultilevel"/>
    <w:tmpl w:val="A62EB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A6BC8"/>
    <w:multiLevelType w:val="hybridMultilevel"/>
    <w:tmpl w:val="4E244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6A71"/>
    <w:multiLevelType w:val="hybridMultilevel"/>
    <w:tmpl w:val="8D52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30EB"/>
    <w:multiLevelType w:val="hybridMultilevel"/>
    <w:tmpl w:val="EB525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2A40"/>
    <w:multiLevelType w:val="multilevel"/>
    <w:tmpl w:val="101E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8A4CF3"/>
    <w:multiLevelType w:val="hybridMultilevel"/>
    <w:tmpl w:val="73483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241581"/>
    <w:multiLevelType w:val="hybridMultilevel"/>
    <w:tmpl w:val="73E6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F5FDF"/>
    <w:multiLevelType w:val="hybridMultilevel"/>
    <w:tmpl w:val="6626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1424"/>
    <w:rsid w:val="00070DDC"/>
    <w:rsid w:val="00072989"/>
    <w:rsid w:val="0007415F"/>
    <w:rsid w:val="000832B7"/>
    <w:rsid w:val="000C5310"/>
    <w:rsid w:val="000E56A6"/>
    <w:rsid w:val="00131B25"/>
    <w:rsid w:val="00134DB7"/>
    <w:rsid w:val="00143DBC"/>
    <w:rsid w:val="00155383"/>
    <w:rsid w:val="001606B1"/>
    <w:rsid w:val="00164B68"/>
    <w:rsid w:val="001900C4"/>
    <w:rsid w:val="00193640"/>
    <w:rsid w:val="001C467A"/>
    <w:rsid w:val="001F0F1C"/>
    <w:rsid w:val="00211364"/>
    <w:rsid w:val="0021313D"/>
    <w:rsid w:val="00213C66"/>
    <w:rsid w:val="0024005B"/>
    <w:rsid w:val="00261376"/>
    <w:rsid w:val="00262303"/>
    <w:rsid w:val="00282933"/>
    <w:rsid w:val="00284AC4"/>
    <w:rsid w:val="002A2180"/>
    <w:rsid w:val="002A3393"/>
    <w:rsid w:val="002B0167"/>
    <w:rsid w:val="002C22FC"/>
    <w:rsid w:val="002E0723"/>
    <w:rsid w:val="00344CD0"/>
    <w:rsid w:val="003463AE"/>
    <w:rsid w:val="003470A6"/>
    <w:rsid w:val="00364798"/>
    <w:rsid w:val="003675B4"/>
    <w:rsid w:val="003840EE"/>
    <w:rsid w:val="003A1059"/>
    <w:rsid w:val="003C5CA8"/>
    <w:rsid w:val="003D4BCD"/>
    <w:rsid w:val="003E6B6F"/>
    <w:rsid w:val="003F43F3"/>
    <w:rsid w:val="003F4E41"/>
    <w:rsid w:val="00411FA8"/>
    <w:rsid w:val="00440E6C"/>
    <w:rsid w:val="00472BDE"/>
    <w:rsid w:val="00487E07"/>
    <w:rsid w:val="00496E7B"/>
    <w:rsid w:val="004D3241"/>
    <w:rsid w:val="004D6B7F"/>
    <w:rsid w:val="004E23BE"/>
    <w:rsid w:val="004E49B6"/>
    <w:rsid w:val="005326B4"/>
    <w:rsid w:val="00572BB1"/>
    <w:rsid w:val="0058185E"/>
    <w:rsid w:val="00581E8B"/>
    <w:rsid w:val="005B7108"/>
    <w:rsid w:val="005C5DF3"/>
    <w:rsid w:val="005D62A6"/>
    <w:rsid w:val="005E4EEA"/>
    <w:rsid w:val="005E5064"/>
    <w:rsid w:val="005F4E99"/>
    <w:rsid w:val="006075C0"/>
    <w:rsid w:val="006243E8"/>
    <w:rsid w:val="006501A7"/>
    <w:rsid w:val="006546FA"/>
    <w:rsid w:val="006A4FC4"/>
    <w:rsid w:val="006B338C"/>
    <w:rsid w:val="006B4AE6"/>
    <w:rsid w:val="006E44F3"/>
    <w:rsid w:val="00701B04"/>
    <w:rsid w:val="007146EF"/>
    <w:rsid w:val="007355DE"/>
    <w:rsid w:val="007674DD"/>
    <w:rsid w:val="007836C0"/>
    <w:rsid w:val="007B4C0F"/>
    <w:rsid w:val="007B4EF8"/>
    <w:rsid w:val="007C0A84"/>
    <w:rsid w:val="007C16D2"/>
    <w:rsid w:val="007C1BC8"/>
    <w:rsid w:val="007D0406"/>
    <w:rsid w:val="008078B6"/>
    <w:rsid w:val="00811F13"/>
    <w:rsid w:val="0083335D"/>
    <w:rsid w:val="0084777E"/>
    <w:rsid w:val="00847F4E"/>
    <w:rsid w:val="00867D25"/>
    <w:rsid w:val="008A1611"/>
    <w:rsid w:val="008A406A"/>
    <w:rsid w:val="008B1952"/>
    <w:rsid w:val="008D1055"/>
    <w:rsid w:val="008E39B4"/>
    <w:rsid w:val="008F588C"/>
    <w:rsid w:val="00924238"/>
    <w:rsid w:val="0094418B"/>
    <w:rsid w:val="00966357"/>
    <w:rsid w:val="009D19B4"/>
    <w:rsid w:val="009D7FE9"/>
    <w:rsid w:val="00A02FA0"/>
    <w:rsid w:val="00A23F48"/>
    <w:rsid w:val="00A26596"/>
    <w:rsid w:val="00A2704D"/>
    <w:rsid w:val="00A314F1"/>
    <w:rsid w:val="00A47A92"/>
    <w:rsid w:val="00A5111E"/>
    <w:rsid w:val="00A5264B"/>
    <w:rsid w:val="00A61DEF"/>
    <w:rsid w:val="00A61F16"/>
    <w:rsid w:val="00A70A36"/>
    <w:rsid w:val="00B069C3"/>
    <w:rsid w:val="00B107BB"/>
    <w:rsid w:val="00B31758"/>
    <w:rsid w:val="00B64489"/>
    <w:rsid w:val="00B74831"/>
    <w:rsid w:val="00B837FE"/>
    <w:rsid w:val="00BA400B"/>
    <w:rsid w:val="00BA646E"/>
    <w:rsid w:val="00C15F30"/>
    <w:rsid w:val="00CA59AB"/>
    <w:rsid w:val="00CE17B0"/>
    <w:rsid w:val="00CF605F"/>
    <w:rsid w:val="00D132F3"/>
    <w:rsid w:val="00D21854"/>
    <w:rsid w:val="00D409DA"/>
    <w:rsid w:val="00D80950"/>
    <w:rsid w:val="00D80C47"/>
    <w:rsid w:val="00D83E34"/>
    <w:rsid w:val="00D84EB7"/>
    <w:rsid w:val="00D9263C"/>
    <w:rsid w:val="00D9754E"/>
    <w:rsid w:val="00DB0006"/>
    <w:rsid w:val="00DB7DBA"/>
    <w:rsid w:val="00DC23A5"/>
    <w:rsid w:val="00E40D21"/>
    <w:rsid w:val="00E5371A"/>
    <w:rsid w:val="00E73A07"/>
    <w:rsid w:val="00EA1775"/>
    <w:rsid w:val="00EB2F22"/>
    <w:rsid w:val="00EB4398"/>
    <w:rsid w:val="00EC794E"/>
    <w:rsid w:val="00ED32A2"/>
    <w:rsid w:val="00EE781E"/>
    <w:rsid w:val="00F26945"/>
    <w:rsid w:val="00F43D58"/>
    <w:rsid w:val="00F55B61"/>
    <w:rsid w:val="00F73A29"/>
    <w:rsid w:val="00F83F91"/>
    <w:rsid w:val="00F8508E"/>
    <w:rsid w:val="00F962B3"/>
    <w:rsid w:val="00F9765D"/>
    <w:rsid w:val="00FB7D5A"/>
    <w:rsid w:val="00FD2E4C"/>
    <w:rsid w:val="00FE1C68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36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ighcliffe.sharepoint.com/sites/LearnMusic/SitePages/Find-Your-Voice(1)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67186-3BCA-4E5A-B067-5DF0B44A168C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RBannister</cp:lastModifiedBy>
  <cp:revision>64</cp:revision>
  <dcterms:created xsi:type="dcterms:W3CDTF">2022-08-24T19:06:00Z</dcterms:created>
  <dcterms:modified xsi:type="dcterms:W3CDTF">2022-08-24T20:12:00Z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